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752"/>
        <w:tblW w:w="99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2070"/>
        <w:gridCol w:w="4770"/>
        <w:gridCol w:w="1170"/>
        <w:tblGridChange w:id="0">
          <w:tblGrid>
            <w:gridCol w:w="1975"/>
            <w:gridCol w:w="2070"/>
            <w:gridCol w:w="4770"/>
            <w:gridCol w:w="117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-1384299</wp:posOffset>
                      </wp:positionV>
                      <wp:extent cx="7769998" cy="931877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465764" y="3318824"/>
                                <a:ext cx="7760473" cy="92235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7FB75F"/>
                                  </a:gs>
                                  <a:gs pos="50000">
                                    <a:srgbClr val="6EB141"/>
                                  </a:gs>
                                  <a:gs pos="100000">
                                    <a:srgbClr val="5FA134"/>
                                  </a:gs>
                                </a:gsLst>
                                <a:lin ang="5400000" scaled="0"/>
                              </a:gradFill>
                              <a:ln cap="flat" cmpd="sng" w="9525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-1384299</wp:posOffset>
                      </wp:positionV>
                      <wp:extent cx="7769998" cy="931877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69998" cy="9318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-761999</wp:posOffset>
                      </wp:positionH>
                      <wp:positionV relativeFrom="paragraph">
                        <wp:posOffset>-1409699</wp:posOffset>
                      </wp:positionV>
                      <wp:extent cx="225425" cy="1010983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2813" y="0"/>
                                <a:ext cx="206375" cy="7560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3F6824"/>
                                  </a:gs>
                                  <a:gs pos="50000">
                                    <a:srgbClr val="5B9634"/>
                                  </a:gs>
                                  <a:gs pos="100000">
                                    <a:srgbClr val="6EB43F"/>
                                  </a:gs>
                                </a:gsLst>
                                <a:lin ang="8100000" scaled="0"/>
                              </a:gradFill>
                              <a:ln cap="flat" cmpd="sng" w="1905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-761999</wp:posOffset>
                      </wp:positionH>
                      <wp:positionV relativeFrom="paragraph">
                        <wp:posOffset>-1409699</wp:posOffset>
                      </wp:positionV>
                      <wp:extent cx="225425" cy="1010983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425" cy="10109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-469899</wp:posOffset>
                      </wp:positionV>
                      <wp:extent cx="7752080" cy="1206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1474723" y="3724438"/>
                                <a:ext cx="7742555" cy="1111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647"/>
                                  </a:gs>
                                  <a:gs pos="50000">
                                    <a:srgbClr val="FFC600"/>
                                  </a:gs>
                                  <a:gs pos="100000">
                                    <a:srgbClr val="E3B400"/>
                                  </a:gs>
                                </a:gsLst>
                                <a:lin ang="5400000" scaled="0"/>
                              </a:gradFill>
                              <a:ln cap="flat" cmpd="sng" w="9525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-469899</wp:posOffset>
                      </wp:positionV>
                      <wp:extent cx="7752080" cy="12065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52080" cy="120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-473709</wp:posOffset>
                  </wp:positionH>
                  <wp:positionV relativeFrom="paragraph">
                    <wp:posOffset>-1334769</wp:posOffset>
                  </wp:positionV>
                  <wp:extent cx="810895" cy="811530"/>
                  <wp:effectExtent b="0" l="0" r="0" t="0"/>
                  <wp:wrapNone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1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-1346199</wp:posOffset>
                      </wp:positionV>
                      <wp:extent cx="4970780" cy="86804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865373" y="3350740"/>
                                <a:ext cx="4961255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Department of Agricultural Product Technology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Mulawarman University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Samarinda, Indonesia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-1346199</wp:posOffset>
                      </wp:positionV>
                      <wp:extent cx="4970780" cy="86804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70780" cy="868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Panggulu Ahmad Ramadhani Utoro, S.TP., MT.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Bidang pengajaran: keteknikan pertanian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Jabatan akademik: asisten ahli di Program Studi Teknologi Hasil Pertanian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Academic career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Penempatan awal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Jurusan Teknologi Hasil Pertanian, Universitas Mulawarman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Pendidikan S2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Keteknikan Pertanian, Universitas Brawijaya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Pendidikan S1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Keteknikan Pertanian, Universitas Brawijaya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Employment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Dosen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Jurusan Teknologi Hasil Pertanian, Universitas Mulawarman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 – sekarang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and development projects over the last 5 years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Rekayasa alat digester dan pengepres buah kelapa sawit serta aplikasinya dalam pembuatan minyak sawit merah pada tingkat petani di Kalimantan Timur, 2023, 20 JT Rupiah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Analysis of houshold socioeconomic and gender-based determinants of food security and nutrition in rural and urban areas: a study in West java, East Kalimantan, Central Sulawesi, and West Nusa Tenggara, 2022, 315 JT Rupiah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16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Struktur kristal, kandungan mineral, β-karoten, α-tokoferol, antioksidan dan gugus fungsi aktif tepung beras putih dan merah pre-gelatinisasi dan pre-digest asal Kalimantan Timur sumber nutrisi anti-stunting, 2021, 35 JT Rupiah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Industry collaborations over the last 5 years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Skenario Pendampingan oleh Akademisi dan Pemerintah untuk Meningkatkan Peran Strategis UMKM bidang Pangan dalam Upaya Menciptakan Kawasan Mandiri Pangan, Matching Fund Kedaireka Konsorsium Patriot Pangan, 2022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Narasumber pada Pelatihan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bagi Usaha Mikro di Sektor Pertanian/Perkebunan oleh Kemenkop UKM di Desa Jonggon Jaya, Kabupaten Kutai Kartanegara, 2022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Narasumber pada Pelatihan Keterampilan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bagi UKM melalui Teknis Produksi Pengolahan Produk Jahe dan Produk Turunannya oleh Kemenkop UKM, 2022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Pelaksanaan Jasa Konsultasi Pelatihan dan Pendampingan Penguatan UMKM di Era Pandemi Covid 19, PT. Bank Syariah Indonesia, 2021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Fasilitator pada Kegiatan Bimbingan Teknis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Life Skill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bagi Masyarakat Pedesaan di Kawasan Rawan Narkoba Provinsi Kalimantan Timur, Badan Narkotika Nasional, 2021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Pembinaan UMKM Gula Aren di Desa Kedang Ipil Kabupaten Kutai Kartanegara, 2021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Pendampingan Pengolahan Jahe di Kampung Nyuatan Kabupaten Kutai Barat, 2021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Dosen Industri pada Program kerja Kuliner Online Program Pilot Project Between PT. Aplikasi Karya Anak Bangsa (AKAB) and Mulawarman University, 2021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 and propietary rights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16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 publications over the last 5 years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Utoro, P.A.R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., Murdianto, W., Pujokaroni, A.S., Andriyani, Y., Banin, M.M., Sulistiawan, D., Rahmansyah, M.R. (2023). Studi Pendahuluan: Pengujian Alat Pengepres Buah Kelapa Sawit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Elaeis guineensis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Jacq) dengan Variasi  Pengukusan dan Pengepresan.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Cannarium.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(2), 47-52.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Utoro, P. A.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Alwi, M., Witoyo, J. E., Argo, B. D., Yulianingsih, R., &amp; Muryanto. (2023). Impact of NaOH Concentration and Pretreatment Time on the Lignocellulose Composition of Sweet Sorghum Bagasse for Second-Generation Bioethanol Production (pp. 198–206).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Utoro, P. A.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Palupi, N. P., Andriyani, Y., Marwati, M., Rachmawati, M., Hardi, E. H., Diana, R &amp; Susmiyati, H. R. (2023). Strategi Desain Label Kemasan dan Positioning Produk UMKM Kawasan Ekosistem Mangrove di Desa Tengin Baru.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ABDIKU: Jurnal Pengabdian Masyarakat Universitas Mulawarman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(1), 50-55.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Utoro, P. A.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Sukoyo, A., Sandra, S., Izza, N., Dewi, S. R., &amp; Wibisono, Y. (2018). High-throughput microfiltration membranes with natural biofouling reducer agent for food processing.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(1), 1.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Izza, N. M., Dewi, S. R., Setyanda, A., Sukoyo, A.,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Utoro,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Al Riza, D. F., &amp; Wibisono, Y. (2018). Microwave-assisted extraction of phenolic compounds from Moringa oleifera seed as anti-biofouling agents in membrane processes. In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MATEC Web of Conferences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(Vol. 204, p. 03003). EDP Sciences.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394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in specialist bodies over the last 5 years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4"/>
              </w:tabs>
              <w:spacing w:after="16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Perhimpunan Ahli Teknologi Pangan Indonesia, Cabang Samarinda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ta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eGO9HOm4hEKUE9o0F2EduhkfQ==">CgMxLjA4AHIhMVB5b1ZWazgya21VMzRIM2xRSzFkZGEzVGdabUJXZzc4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