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1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75"/>
        <w:gridCol w:w="1842"/>
        <w:gridCol w:w="4257"/>
        <w:gridCol w:w="1042"/>
        <w:tblGridChange w:id="0">
          <w:tblGrid>
            <w:gridCol w:w="1875"/>
            <w:gridCol w:w="1842"/>
            <w:gridCol w:w="4257"/>
            <w:gridCol w:w="1042"/>
          </w:tblGrid>
        </w:tblGridChange>
      </w:tblGrid>
      <w:tr>
        <w:trPr>
          <w:cantSplit w:val="0"/>
          <w:trHeight w:val="18" w:hRule="atLeast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3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Dr. Miftakkhur Rohmah, S.P., M.P.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6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Position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7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Bidang pengajaran : Teknologi pasca panen dan Bioaktif Pangan</w:t>
            </w:r>
          </w:p>
          <w:p w:rsidR="00000000" w:rsidDel="00000000" w:rsidP="00000000" w:rsidRDefault="00000000" w:rsidRPr="00000000" w14:paraId="00000008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Jabatan akademik   : Lektor kepala</w:t>
            </w:r>
          </w:p>
        </w:tc>
      </w:tr>
      <w:tr>
        <w:trPr>
          <w:cantSplit w:val="0"/>
          <w:trHeight w:val="1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Academic career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0C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Penempatan Awal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Pendidikan S3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Pendidikan S2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Pendidikan S1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11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Ilmu Pangan, Universitas Gadjah Mada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Ilmu dan Teknologi Pangan, Universitas Gadjah Mada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Ilmu Hama dan Penyakit Tumbuhan, Universitas Lambung Mangkurat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2019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2007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tabs>
                <w:tab w:val="left" w:leader="none" w:pos="9654"/>
              </w:tabs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2003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Dosen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tabs>
                <w:tab w:val="left" w:leader="none" w:pos="9654"/>
              </w:tabs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Jurusan Teknologi Hasil Pertanian, Univeristas Mulawarman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tabs>
                <w:tab w:val="left" w:leader="none" w:pos="9654"/>
              </w:tabs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Research and development projects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Pengaruh penambahan tiwai instan dan lama penyaringan terhadap warna, total padatan terlarut, endapan, sensoris, saturasi oksigen, detak jantung dan tekanan darah, 2022,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Aplikasi Bubuk Mandai Dan Bekai Sebagai Seasoning Alami Pada Produk Pangan, 2021,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Aktivitas Biologi Β-Karoten Dalam Sistem Pembawa Nanostructured Lipid Carrier (NLC) Yang Dibuat Dari Kombinasi Fraksi Stearin Dan Olein Sawit, 2021,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Industry collaborations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8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Patents and propietary rights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Teknik Produksi Simplisia Bangalai (Zingiber montanum (J.Köning) Link ex A. Dietr) dengan Metode Steam dan Boiling Blanching menggunakan Natrium Bisulfit dan Asam Sitrat, 2021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Formulasi Pakan Ayam Broiler Dengan Menggunakan Nanopartikel Bawang Tiwai (Eleutherine Americana Merr) Sebagai Aditif Pakan, 2021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Proses Pembuatan Ekstrak Air Daun Senggani dan Penggunaannya dalam Menyamarkan Rasa Pahit Pada Bahan Pangan dan Bahan Aktif Obat-Obatan, 2021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Buku Saku : Penerapan Hygiene dan Sanitasi Lingkungan, 2021</w:t>
            </w:r>
          </w:p>
        </w:tc>
      </w:tr>
      <w:tr>
        <w:trPr>
          <w:cantSplit w:val="0"/>
          <w:trHeight w:val="14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Important publications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Rohmah,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Rahmadi, A., &amp; Raharjo, S. (2022). Bioaccessibility and antioxidant activity of β-carotene loaded nanostructured lipid carrier (NLC) from binary mixtures of palm stearin and palm olein.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Heliyon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(2).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Rohmah,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Saragih, B., Amaliah, N., Kristopal, K., Putra, Y. H. E., &amp; Rahmadi, A. (2022, January). Determination of Moisture, Ash, Protein, Polyphenolic, Flavonoids, and Amino Acid Contents and Antioxidant Capacity of Dried Mekai (Pycnarrhena tumefacta Miers) Leaf as Potential Herbal Flavor Enhancers. In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International Conference on Tropical Agrifood, Feed and Fuel (ICTAFF 2021)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 (pp. 149-158). Atlantis Press.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Banin, M. M., Nurdiana, S., Emmawati, A.,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Rohmah,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&amp; Rahmadi, A. (2022). Vitamin C, total titrated acid and antioxidant activity of Oximata® jelly mix.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Food Research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(4), 295-303.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723" w:right="0" w:hanging="36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Rahmadi, A.,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Rohmah, M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., Sari, K., Hendra, M., Azemi, R. N., Alfitriyah, M. R., &amp; Rohman, F. (2021). Polyphenolics and antioxidant potential of five medicinal plants found in East Kalimantan, Indonesia.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Journal of Hunan University Natural Sciences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,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48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(9).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tabs>
                <w:tab w:val="left" w:leader="none" w:pos="9654"/>
              </w:tabs>
              <w:spacing w:line="276" w:lineRule="auto"/>
              <w:rPr/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Activities in specialist bodies over the last 5 years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654"/>
              </w:tabs>
              <w:spacing w:after="160" w:before="0" w:line="276" w:lineRule="auto"/>
              <w:ind w:left="36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Yu Gothic Light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Yu Gothic Light" w:cs="Yu Gothic Light" w:eastAsia="Yu Gothic Light" w:hAnsi="Yu Gothic Ligh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1080" w:hanging="360"/>
      </w:pPr>
      <w:rPr>
        <w:rFonts w:ascii="Yu Gothic Light" w:cs="Yu Gothic Light" w:eastAsia="Yu Gothic Light" w:hAnsi="Yu Gothic Ligh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j4+qWgyvNiW4718qCgmd+ViOoQ==">CgMxLjA4AHIhMXFRUXVybmtJWmtRYURXbzUtTEYyeXFVTDhsaGwzYUg1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